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403F04A8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7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421F9174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E763C9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E763C9">
        <w:rPr>
          <w:rFonts w:ascii="Times New Roman" w:hAnsi="Times New Roman"/>
          <w:sz w:val="28"/>
          <w:szCs w:val="28"/>
        </w:rPr>
        <w:t xml:space="preserve"> </w:t>
      </w:r>
      <w:r w:rsidR="00E763C9" w:rsidRPr="00F6238C">
        <w:rPr>
          <w:rFonts w:ascii="Times New Roman" w:hAnsi="Times New Roman"/>
          <w:sz w:val="28"/>
          <w:szCs w:val="28"/>
        </w:rPr>
        <w:t>электроэнергетике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0871E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6FE5DC6E" w:rsidR="005750ED" w:rsidRPr="005750ED" w:rsidRDefault="005750ED" w:rsidP="00E15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048164"/>
      <w:r w:rsidR="00191CEB">
        <w:rPr>
          <w:rFonts w:ascii="Times New Roman" w:hAnsi="Times New Roman"/>
          <w:sz w:val="28"/>
          <w:szCs w:val="28"/>
        </w:rPr>
        <w:t>Положением</w:t>
      </w:r>
      <w:r w:rsidR="00191CEB" w:rsidRPr="001F7192">
        <w:rPr>
          <w:rFonts w:ascii="Times New Roman" w:hAnsi="Times New Roman"/>
          <w:sz w:val="28"/>
          <w:szCs w:val="28"/>
        </w:rPr>
        <w:t xml:space="preserve"> </w:t>
      </w:r>
      <w:r w:rsidR="00191CEB">
        <w:rPr>
          <w:rFonts w:ascii="Times New Roman" w:hAnsi="Times New Roman"/>
          <w:sz w:val="28"/>
          <w:szCs w:val="28"/>
        </w:rPr>
        <w:br/>
      </w:r>
      <w:r w:rsidR="00191CEB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(надзоре) 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>
        <w:rPr>
          <w:rFonts w:ascii="Times New Roman" w:hAnsi="Times New Roman"/>
          <w:sz w:val="28"/>
          <w:szCs w:val="28"/>
        </w:rPr>
        <w:t xml:space="preserve">, утвержденным </w:t>
      </w:r>
      <w:r w:rsidR="00191CEB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191CEB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="00191CEB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r w:rsidR="00191CEB">
        <w:rPr>
          <w:rFonts w:ascii="Times New Roman" w:hAnsi="Times New Roman" w:cs="Times New Roman"/>
          <w:sz w:val="28"/>
          <w:szCs w:val="28"/>
        </w:rPr>
        <w:br/>
      </w:r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03.07.2018 № 380-п, распоряжени</w:t>
      </w:r>
      <w:r w:rsidR="00B85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22.10.2018 № 565-рг,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1" w:name="_Hlk95384275"/>
      <w:r w:rsidR="00191CEB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1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4E9B50B9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69D540C7" w14:textId="2BE9A6B1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191CEB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91CEB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04140527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03.07.2018 № 380-п, в 2022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191CEB" w:rsidRPr="00F6238C">
        <w:rPr>
          <w:rFonts w:ascii="Times New Roman" w:hAnsi="Times New Roman"/>
          <w:sz w:val="28"/>
          <w:szCs w:val="28"/>
        </w:rPr>
        <w:t>за регулируемыми государством ценами (тарифами) 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191CEB"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77777777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15FAF5C9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региональном государственном контроле (надзоре) </w:t>
      </w:r>
      <w:r w:rsidR="00191CEB" w:rsidRPr="00F6238C">
        <w:rPr>
          <w:rFonts w:ascii="Times New Roman" w:hAnsi="Times New Roman"/>
          <w:sz w:val="28"/>
          <w:szCs w:val="28"/>
        </w:rPr>
        <w:t xml:space="preserve">за регулируемыми государством ценами (тарифами) </w:t>
      </w:r>
      <w:r w:rsidR="00191CEB">
        <w:rPr>
          <w:rFonts w:ascii="Times New Roman" w:hAnsi="Times New Roman"/>
          <w:sz w:val="28"/>
          <w:szCs w:val="28"/>
        </w:rPr>
        <w:br/>
      </w:r>
      <w:r w:rsidR="00191CEB" w:rsidRPr="00F6238C">
        <w:rPr>
          <w:rFonts w:ascii="Times New Roman" w:hAnsi="Times New Roman"/>
          <w:sz w:val="28"/>
          <w:szCs w:val="28"/>
        </w:rPr>
        <w:t>в</w:t>
      </w:r>
      <w:r w:rsidR="00191CEB">
        <w:rPr>
          <w:rFonts w:ascii="Times New Roman" w:hAnsi="Times New Roman"/>
          <w:sz w:val="28"/>
          <w:szCs w:val="28"/>
        </w:rPr>
        <w:t xml:space="preserve"> </w:t>
      </w:r>
      <w:r w:rsidR="00191CEB" w:rsidRPr="00F6238C">
        <w:rPr>
          <w:rFonts w:ascii="Times New Roman" w:hAnsi="Times New Roman"/>
          <w:sz w:val="28"/>
          <w:szCs w:val="28"/>
        </w:rPr>
        <w:t>электроэнергетике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88</w:t>
      </w:r>
      <w:r w:rsidR="00191CE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318F1E86" w14:textId="5BAA23CA" w:rsidR="00191CEB" w:rsidRPr="008D309C" w:rsidRDefault="00191CEB" w:rsidP="00191C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егионального контроля является соблюдение </w:t>
      </w:r>
      <w:r w:rsidRPr="00C52D43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52D43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электроэнергетики в процессе осуществления регулируемых видов деятельности в электроэнергетике (далее – контролируемые лица)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от 26.03.2003 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платы в электроэнергетике,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сбыт электрической энергии, использования инвестиционных ресурсов, учтенных при установлении регулируемых цен (тарифов) и платы, требований к соблюдению </w:t>
      </w:r>
      <w:hyperlink r:id="rId11" w:history="1">
        <w:r w:rsidRPr="008D3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в сфере электроэнергетики (далее – обязательные требования).</w:t>
      </w:r>
    </w:p>
    <w:p w14:paraId="2D33AF3A" w14:textId="77777777" w:rsidR="00B85570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B85570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2709302"/>
      <w:bookmarkEnd w:id="2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303730BE" w14:textId="77777777" w:rsidR="00B85570" w:rsidRPr="005750ED" w:rsidRDefault="00B85570" w:rsidP="00B855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32D61046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1CE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2022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106F2DA" w14:textId="77777777" w:rsidR="00191CEB" w:rsidRPr="005B351F" w:rsidRDefault="00191CEB" w:rsidP="00191CE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16">
        <w:rPr>
          <w:rFonts w:ascii="Times New Roman" w:hAnsi="Times New Roman" w:cs="Times New Roman"/>
          <w:sz w:val="28"/>
          <w:szCs w:val="28"/>
        </w:rPr>
        <w:t>В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принимал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3 плановых документарных проверках министерства промышленности, энергетики и жилищно-коммунального хозяйства Красноярского края </w:t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осуществлению контроля за реализацией инвестиционных программ субъектов электроэнергетики в 2021 году в отношении следующих юридических лиц: ООО «Электрические сети Сибири»,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ЕнисейСетьСервис</w:t>
      </w:r>
      <w:proofErr w:type="spellEnd"/>
      <w:r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электрических сетей г. Зеленогорска.</w:t>
      </w:r>
    </w:p>
    <w:p w14:paraId="629F8450" w14:textId="77777777" w:rsidR="00191CEB" w:rsidRPr="005B351F" w:rsidRDefault="00191CEB" w:rsidP="00191C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51F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систематический контроль </w:t>
      </w:r>
      <w:r w:rsidRPr="005B351F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(далее – ТСО) стандартов раскрытия информации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, утвержденных постановлением Правительства Российской Федерации от 21.01.2004 № 24,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 части размещения отчетов о реализации инвестиционных программ на</w:t>
      </w:r>
      <w:r w:rsidRPr="005B351F">
        <w:rPr>
          <w:rFonts w:ascii="Times New Roman" w:hAnsi="Times New Roman" w:cs="Times New Roman"/>
          <w:sz w:val="28"/>
          <w:szCs w:val="28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(далее – сайт ФГИС ЕПГУ)</w:t>
      </w:r>
      <w:r w:rsidRPr="005B3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402974" w14:textId="02863EB9" w:rsidR="001228D3" w:rsidRDefault="00191CEB" w:rsidP="00191C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8D3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</w:t>
      </w:r>
      <w:r w:rsidRPr="001228D3">
        <w:rPr>
          <w:rFonts w:ascii="Times New Roman" w:hAnsi="Times New Roman" w:cs="Times New Roman"/>
          <w:color w:val="000000"/>
          <w:sz w:val="28"/>
          <w:szCs w:val="28"/>
        </w:rPr>
        <w:t xml:space="preserve">от 12.04.2022 № 44-о, </w:t>
      </w:r>
      <w:r w:rsidRPr="001228D3">
        <w:rPr>
          <w:rFonts w:ascii="Times New Roman" w:hAnsi="Times New Roman" w:cs="Times New Roman"/>
          <w:color w:val="000000"/>
          <w:sz w:val="28"/>
          <w:szCs w:val="28"/>
        </w:rPr>
        <w:br/>
        <w:t>от 23.05.2022 № 61-о, от 15.08.2022 № 146-о, от 14.11.2022 № 171-п в</w:t>
      </w:r>
      <w:r w:rsidRPr="001228D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2022 году </w:t>
      </w:r>
      <w:r w:rsidRPr="001228D3">
        <w:rPr>
          <w:rFonts w:ascii="Times New Roman" w:hAnsi="Times New Roman" w:cs="Times New Roman"/>
          <w:sz w:val="28"/>
          <w:szCs w:val="28"/>
        </w:rPr>
        <w:t xml:space="preserve">Министерством проведено наблюдение за соблюдением обязательных требований (далее – наблюдение) в части </w:t>
      </w:r>
      <w:r w:rsidRPr="001228D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размещения отчетов о реализации инвестиционных программ </w:t>
      </w:r>
      <w:r w:rsidRPr="001228D3">
        <w:rPr>
          <w:rFonts w:ascii="Times New Roman" w:hAnsi="Times New Roman" w:cs="Times New Roman"/>
          <w:sz w:val="28"/>
          <w:szCs w:val="28"/>
        </w:rPr>
        <w:t xml:space="preserve">ТСО на сайте ФГИС ЕПГУ. </w:t>
      </w:r>
      <w:r w:rsidRPr="001228D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наблюдения Министерством объявлено 4 предостережения о недопустимости </w:t>
      </w:r>
      <w:r w:rsidRPr="00122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обязательных требований (далее – предостережение)</w:t>
      </w:r>
      <w:r w:rsidR="001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юридическим лицам</w:t>
      </w:r>
      <w:r w:rsidR="001228D3" w:rsidRPr="001228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D3" w:rsidRPr="001228D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228D3" w:rsidRPr="001228D3">
        <w:rPr>
          <w:rFonts w:ascii="Times New Roman" w:hAnsi="Times New Roman" w:cs="Times New Roman"/>
          <w:sz w:val="28"/>
          <w:szCs w:val="28"/>
        </w:rPr>
        <w:t>ЕнисейСетьСервис</w:t>
      </w:r>
      <w:proofErr w:type="spellEnd"/>
      <w:r w:rsidR="001228D3" w:rsidRPr="001228D3">
        <w:rPr>
          <w:rFonts w:ascii="Times New Roman" w:hAnsi="Times New Roman" w:cs="Times New Roman"/>
          <w:sz w:val="28"/>
          <w:szCs w:val="28"/>
        </w:rPr>
        <w:t>»</w:t>
      </w:r>
      <w:r w:rsidR="001228D3">
        <w:rPr>
          <w:rFonts w:ascii="Times New Roman" w:hAnsi="Times New Roman" w:cs="Times New Roman"/>
          <w:sz w:val="28"/>
          <w:szCs w:val="28"/>
        </w:rPr>
        <w:t xml:space="preserve">, </w:t>
      </w:r>
      <w:r w:rsidR="001228D3" w:rsidRPr="001228D3">
        <w:rPr>
          <w:rFonts w:ascii="Times New Roman" w:hAnsi="Times New Roman" w:cs="Times New Roman"/>
          <w:sz w:val="28"/>
          <w:szCs w:val="28"/>
        </w:rPr>
        <w:t>ООО «КраМЗ-ТЕЛЕКОМ»</w:t>
      </w:r>
      <w:r w:rsidR="001228D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DD9A2F8" w14:textId="1E0A214A" w:rsidR="001228D3" w:rsidRPr="001228D3" w:rsidRDefault="001228D3" w:rsidP="001228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8D3">
        <w:rPr>
          <w:rFonts w:ascii="Times New Roman" w:hAnsi="Times New Roman" w:cs="Times New Roman"/>
          <w:sz w:val="28"/>
          <w:szCs w:val="28"/>
        </w:rPr>
        <w:t>ООО «ПЕСЧАНКА ЭНЕРГО»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ЭСК «Энергия»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CEACB7" w14:textId="214255C4" w:rsidR="005750ED" w:rsidRPr="001228D3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228D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1228D3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8D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1228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2AE4E4E3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832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1B3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статья 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2C5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39D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47F8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200 до 500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часть 1 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37642" w14:textId="1393D3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712F1EB1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F84E5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2BE7A35A" w14:textId="77777777" w:rsidR="00F84E5D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253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bookmarkStart w:id="4" w:name="_Hlk80612245"/>
      <w:bookmarkStart w:id="5" w:name="_Hlk80612060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сфере регулируемых государством цен (тарифов)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в электроэнергетике </w:t>
      </w:r>
      <w:bookmarkEnd w:id="4"/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2022 год). </w:t>
      </w:r>
    </w:p>
    <w:p w14:paraId="70728391" w14:textId="77777777" w:rsidR="00F84E5D" w:rsidRPr="00064BB6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2E43A4" w14:textId="77777777" w:rsidR="00F84E5D" w:rsidRPr="007F7222" w:rsidRDefault="00F84E5D" w:rsidP="00F8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2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DE5CF0F" w14:textId="77777777" w:rsidR="00F84E5D" w:rsidRPr="00A07662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453C40" w14:textId="77777777" w:rsidR="00F84E5D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Pr="00972004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</w:t>
      </w:r>
      <w:r>
        <w:rPr>
          <w:rFonts w:ascii="Times New Roman" w:hAnsi="Times New Roman" w:cs="Times New Roman"/>
          <w:sz w:val="28"/>
          <w:szCs w:val="28"/>
        </w:rPr>
        <w:br/>
      </w:r>
      <w:r w:rsidRPr="00972004">
        <w:rPr>
          <w:rFonts w:ascii="Times New Roman" w:hAnsi="Times New Roman" w:cs="Times New Roman"/>
          <w:sz w:val="28"/>
          <w:szCs w:val="28"/>
        </w:rPr>
        <w:t>в электроэнергетике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19333386"/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1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bookmarkEnd w:id="6"/>
    </w:p>
    <w:p w14:paraId="4F25603B" w14:textId="77777777" w:rsidR="00F84E5D" w:rsidRPr="004D7E30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67E9905F" w14:textId="77777777" w:rsidR="00F84E5D" w:rsidRPr="003761B9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06547DA8" w14:textId="77777777" w:rsidR="00F84E5D" w:rsidRPr="003761B9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655425" w14:textId="71E958EA" w:rsidR="00F84E5D" w:rsidRPr="00972004" w:rsidRDefault="00F84E5D" w:rsidP="00F84E5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972004">
        <w:rPr>
          <w:rFonts w:ascii="Times New Roman" w:hAnsi="Times New Roman" w:cs="Times New Roman"/>
          <w:sz w:val="28"/>
          <w:szCs w:val="28"/>
        </w:rPr>
        <w:t>за регулируемыми государством ценами (тарифами) в электроэнергетике</w:t>
      </w:r>
      <w:bookmarkStart w:id="7" w:name="_Hlk11933349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7"/>
    </w:p>
    <w:p w14:paraId="3459FF89" w14:textId="77777777" w:rsidR="00F84E5D" w:rsidRPr="00972004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7BACFA6A" w14:textId="77777777" w:rsidR="00F84E5D" w:rsidRPr="0002428E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360FB7EF" w14:textId="77777777" w:rsidR="00F84E5D" w:rsidRPr="0002428E" w:rsidRDefault="00F84E5D" w:rsidP="00F84E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Pr="00972004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в электроэнергетике в Красноярском крае </w:t>
      </w:r>
      <w:r w:rsidRPr="00972004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8" w:name="_Hlk119333639"/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 09.03.2022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-о);</w:t>
      </w:r>
      <w:bookmarkEnd w:id="8"/>
    </w:p>
    <w:p w14:paraId="14101662" w14:textId="77777777" w:rsidR="00F84E5D" w:rsidRDefault="00F84E5D" w:rsidP="00F84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756D0" w14:textId="77777777" w:rsidR="00F84E5D" w:rsidRPr="001F4AAF" w:rsidRDefault="00F84E5D" w:rsidP="00F84E5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AAF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>Министерством осуществляется информирование контролируемых лиц посредством опубликования на официальном сайте Министерства информационных писем</w:t>
      </w:r>
      <w:r>
        <w:rPr>
          <w:rFonts w:ascii="Times New Roman" w:hAnsi="Times New Roman" w:cs="Times New Roman"/>
          <w:sz w:val="28"/>
          <w:szCs w:val="28"/>
        </w:rPr>
        <w:t>. 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p w14:paraId="0E0A3FA9" w14:textId="77777777" w:rsidR="00F84E5D" w:rsidRPr="001F4AAF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сроках предоставления документов на технологическое присоединение (подключение) к сетям электроснабжения, теплоснабжения, газоснабжения, водоснабжения и водоотведения;</w:t>
      </w:r>
    </w:p>
    <w:p w14:paraId="3A38DE8F" w14:textId="77777777" w:rsidR="00F84E5D" w:rsidRPr="00AB186B" w:rsidRDefault="00F84E5D" w:rsidP="00F84E5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1F4AA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</w:t>
      </w:r>
      <w:r w:rsidRPr="00AB186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;</w:t>
      </w:r>
    </w:p>
    <w:p w14:paraId="32BED537" w14:textId="77777777" w:rsidR="00F84E5D" w:rsidRPr="009F53AF" w:rsidRDefault="00F84E5D" w:rsidP="00F84E5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мерах поддержки предпринимательского сообщества в части контрольной (надзорной) и разрешительной деятельности.</w:t>
      </w:r>
    </w:p>
    <w:p w14:paraId="5E065A79" w14:textId="77777777" w:rsidR="00F84E5D" w:rsidRPr="0035014F" w:rsidRDefault="00F84E5D" w:rsidP="00F84E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C9B657" w14:textId="77777777" w:rsidR="00F84E5D" w:rsidRDefault="00F84E5D" w:rsidP="00F84E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>
        <w:rPr>
          <w:rFonts w:ascii="Times New Roman" w:hAnsi="Times New Roman" w:cs="Times New Roman"/>
          <w:sz w:val="28"/>
          <w:szCs w:val="28"/>
        </w:rPr>
        <w:t>контролируемым лицам 5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электроэнергетики</w:t>
      </w:r>
      <w:r w:rsidRPr="00C00453">
        <w:rPr>
          <w:rFonts w:ascii="Times New Roman" w:hAnsi="Times New Roman" w:cs="Times New Roman"/>
          <w:sz w:val="28"/>
          <w:szCs w:val="28"/>
        </w:rPr>
        <w:t>:</w:t>
      </w:r>
    </w:p>
    <w:p w14:paraId="3964EE0A" w14:textId="77777777" w:rsidR="00F84E5D" w:rsidRDefault="00F84E5D" w:rsidP="00F84E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предостережение</w:t>
      </w:r>
      <w:r w:rsidRPr="005F1040">
        <w:rPr>
          <w:rFonts w:ascii="Times New Roman" w:hAnsi="Times New Roman" w:cs="Times New Roman"/>
          <w:sz w:val="28"/>
          <w:szCs w:val="28"/>
        </w:rPr>
        <w:t xml:space="preserve"> на основании поступивших в Министерство сведений о нарушениях (о готовящихся нарушениях или признаках нарушений)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104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C00453">
        <w:rPr>
          <w:rFonts w:ascii="Times New Roman" w:hAnsi="Times New Roman" w:cs="Times New Roman"/>
          <w:sz w:val="28"/>
          <w:szCs w:val="28"/>
        </w:rPr>
        <w:t>;</w:t>
      </w:r>
    </w:p>
    <w:p w14:paraId="700CC594" w14:textId="77777777" w:rsidR="00F84E5D" w:rsidRPr="00D32516" w:rsidRDefault="00F84E5D" w:rsidP="00F84E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предостережения п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p w14:paraId="3504B7B3" w14:textId="77777777" w:rsidR="00F84E5D" w:rsidRPr="00E43684" w:rsidRDefault="00F84E5D" w:rsidP="00F84E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9" w:name="_Hlk121130699"/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электроэнергетики.</w:t>
      </w:r>
    </w:p>
    <w:bookmarkEnd w:id="9"/>
    <w:p w14:paraId="11082E77" w14:textId="77777777" w:rsidR="00F84E5D" w:rsidRPr="00E43684" w:rsidRDefault="00F84E5D" w:rsidP="00F84E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2022 году должностными лицами Министерства проведен 1 обязательный профилактический визит</w:t>
      </w:r>
      <w:r w:rsidRPr="00EB4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контролируемого лица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>, приступ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ившего</w:t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 к осуществлению регулируемых видов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4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 в 2021 году.</w:t>
      </w:r>
    </w:p>
    <w:p w14:paraId="2D5E3788" w14:textId="5E07B7DD" w:rsidR="00F84E5D" w:rsidRPr="000A7AD7" w:rsidRDefault="005750ED" w:rsidP="00F84E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5750ED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12.12.2022 № 18</w:t>
      </w:r>
      <w:r w:rsidR="00F84E5D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>-о П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F84E5D"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F84E5D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цен (тарифов) </w:t>
      </w:r>
      <w:r w:rsidR="00F84E5D">
        <w:rPr>
          <w:rFonts w:ascii="Times New Roman" w:hAnsi="Times New Roman" w:cs="Times New Roman"/>
          <w:sz w:val="28"/>
          <w:szCs w:val="28"/>
        </w:rPr>
        <w:br/>
        <w:t>в электроэнергетике</w:t>
      </w:r>
      <w:r w:rsidR="00F84E5D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F84E5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F84E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E5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84E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E5D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1C1C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при осуществлении контроля (надзора). </w:t>
      </w:r>
    </w:p>
    <w:sectPr w:rsidR="005750ED" w:rsidRPr="005750ED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5BAE" w14:textId="77777777" w:rsidR="00F7284F" w:rsidRDefault="00F7284F" w:rsidP="00513A79">
      <w:pPr>
        <w:spacing w:after="0" w:line="240" w:lineRule="auto"/>
      </w:pPr>
      <w:r>
        <w:separator/>
      </w:r>
    </w:p>
  </w:endnote>
  <w:endnote w:type="continuationSeparator" w:id="0">
    <w:p w14:paraId="2745B70C" w14:textId="77777777" w:rsidR="00F7284F" w:rsidRDefault="00F7284F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8AC5" w14:textId="77777777" w:rsidR="00F7284F" w:rsidRDefault="00F7284F" w:rsidP="00513A79">
      <w:pPr>
        <w:spacing w:after="0" w:line="240" w:lineRule="auto"/>
      </w:pPr>
      <w:r>
        <w:separator/>
      </w:r>
    </w:p>
  </w:footnote>
  <w:footnote w:type="continuationSeparator" w:id="0">
    <w:p w14:paraId="48109C7B" w14:textId="77777777" w:rsidR="00F7284F" w:rsidRDefault="00F7284F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30B4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20EBB"/>
    <w:rsid w:val="001228D3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90775"/>
    <w:rsid w:val="00793915"/>
    <w:rsid w:val="00796F0D"/>
    <w:rsid w:val="007A2C49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15487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55BC"/>
    <w:rsid w:val="00B01D9C"/>
    <w:rsid w:val="00B03509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85570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5ADA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284F"/>
    <w:rsid w:val="00F73067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tpkrsk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2EDF8C01C81D681308EAAE87972F08D2A464AFF9B70567CC246284D50B2EA58C845489FD798686A2BCFA1E78682D138641F1280993P1P2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8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206</cp:revision>
  <cp:lastPrinted>2022-12-08T02:54:00Z</cp:lastPrinted>
  <dcterms:created xsi:type="dcterms:W3CDTF">2020-11-30T04:26:00Z</dcterms:created>
  <dcterms:modified xsi:type="dcterms:W3CDTF">2023-01-17T03:15:00Z</dcterms:modified>
</cp:coreProperties>
</file>